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bCs/>
          <w:sz w:val="32"/>
        </w:rPr>
      </w:pPr>
      <w:r>
        <w:rPr>
          <w:rFonts w:hint="eastAsia" w:ascii="黑体" w:eastAsia="黑体"/>
          <w:bCs/>
          <w:sz w:val="32"/>
        </w:rPr>
        <w:t>附件：</w:t>
      </w:r>
    </w:p>
    <w:p>
      <w:pPr>
        <w:spacing w:line="600" w:lineRule="exact"/>
        <w:jc w:val="center"/>
        <w:rPr>
          <w:rFonts w:hint="eastAsia" w:ascii="方正小标宋简体" w:eastAsia="方正小标宋简体"/>
          <w:b/>
          <w:bCs/>
          <w:sz w:val="44"/>
          <w:szCs w:val="44"/>
        </w:rPr>
      </w:pPr>
      <w:bookmarkStart w:id="0" w:name="_Hlk199512984"/>
      <w:r>
        <w:rPr>
          <w:rFonts w:hint="eastAsia" w:ascii="方正小标宋简体" w:eastAsia="方正小标宋简体"/>
          <w:b/>
          <w:bCs/>
          <w:sz w:val="44"/>
          <w:szCs w:val="44"/>
        </w:rPr>
        <w:t>温岭市第一人民医院新增</w:t>
      </w:r>
    </w:p>
    <w:p>
      <w:pPr>
        <w:spacing w:line="60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自主定价（特需）医疗服务项目汇总表</w:t>
      </w:r>
    </w:p>
    <w:bookmarkEnd w:id="0"/>
    <w:tbl>
      <w:tblPr>
        <w:tblStyle w:val="2"/>
        <w:tblW w:w="9751" w:type="dxa"/>
        <w:jc w:val="center"/>
        <w:tblLayout w:type="fixed"/>
        <w:tblCellMar>
          <w:top w:w="0" w:type="dxa"/>
          <w:left w:w="108" w:type="dxa"/>
          <w:bottom w:w="0" w:type="dxa"/>
          <w:right w:w="108" w:type="dxa"/>
        </w:tblCellMar>
      </w:tblPr>
      <w:tblGrid>
        <w:gridCol w:w="638"/>
        <w:gridCol w:w="1120"/>
        <w:gridCol w:w="1418"/>
        <w:gridCol w:w="3162"/>
        <w:gridCol w:w="590"/>
        <w:gridCol w:w="851"/>
        <w:gridCol w:w="1042"/>
        <w:gridCol w:w="930"/>
      </w:tblGrid>
      <w:tr>
        <w:tblPrEx>
          <w:tblCellMar>
            <w:top w:w="0" w:type="dxa"/>
            <w:left w:w="108" w:type="dxa"/>
            <w:bottom w:w="0" w:type="dxa"/>
            <w:right w:w="108" w:type="dxa"/>
          </w:tblCellMar>
        </w:tblPrEx>
        <w:trPr>
          <w:trHeight w:val="661"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项目编码</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项目名称</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项目服务内容（内涵）</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除外内容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20"/>
              </w:tabs>
              <w:spacing w:line="260" w:lineRule="exact"/>
              <w:jc w:val="center"/>
              <w:textAlignment w:val="center"/>
              <w:rPr>
                <w:rFonts w:hint="eastAsia" w:ascii="仿宋_GB2312" w:hAnsi="宋体" w:eastAsia="仿宋_GB2312" w:cs="宋体"/>
                <w:b/>
                <w:color w:val="000000"/>
                <w:kern w:val="0"/>
                <w:sz w:val="24"/>
                <w:lang w:bidi="ar"/>
              </w:rPr>
            </w:pPr>
            <w:r>
              <w:rPr>
                <w:rFonts w:hint="eastAsia" w:ascii="仿宋_GB2312" w:hAnsi="宋体" w:eastAsia="仿宋_GB2312" w:cs="宋体"/>
                <w:b/>
                <w:color w:val="000000"/>
                <w:kern w:val="0"/>
                <w:sz w:val="24"/>
                <w:lang w:bidi="ar"/>
              </w:rPr>
              <w:t>计价</w:t>
            </w:r>
          </w:p>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收费标准（元）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备注</w:t>
            </w:r>
          </w:p>
        </w:tc>
      </w:tr>
      <w:tr>
        <w:tblPrEx>
          <w:tblCellMar>
            <w:top w:w="0" w:type="dxa"/>
            <w:left w:w="108" w:type="dxa"/>
            <w:bottom w:w="0" w:type="dxa"/>
            <w:right w:w="108" w:type="dxa"/>
          </w:tblCellMar>
        </w:tblPrEx>
        <w:trPr>
          <w:trHeight w:val="166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kern w:val="0"/>
                <w:sz w:val="24"/>
                <w:lang w:bidi="ar"/>
              </w:rPr>
            </w:pPr>
            <w:r>
              <w:rPr>
                <w:rFonts w:ascii="仿宋_GB2312" w:hAnsi="宋体" w:eastAsia="仿宋_GB2312" w:cs="宋体"/>
                <w:color w:val="000000"/>
                <w:kern w:val="0"/>
                <w:sz w:val="24"/>
                <w:lang w:bidi="ar"/>
              </w:rPr>
              <w:t>T006002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省内外院专家会诊费</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olor w:val="000000"/>
                <w:sz w:val="24"/>
              </w:rPr>
            </w:pPr>
            <w:r>
              <w:rPr>
                <w:rFonts w:hint="eastAsia" w:ascii="仿宋_GB2312" w:hAnsi="宋体" w:eastAsia="仿宋_GB2312"/>
                <w:color w:val="000000"/>
                <w:sz w:val="24"/>
              </w:rPr>
              <w:t>由需方自愿提出会诊要求，医院与需方就有关邀请人员、医疗方案和费用等事项进行协商，然后由医院出面组织邀请院外专家（省内）来本院会诊。</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不高于10000元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518"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kern w:val="0"/>
                <w:sz w:val="24"/>
                <w:lang w:bidi="ar"/>
              </w:rPr>
              <w:t>T006003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bidi="ar"/>
              </w:rPr>
              <w:t>省外外院专家会诊费</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olor w:val="000000"/>
                <w:sz w:val="24"/>
              </w:rPr>
            </w:pPr>
            <w:r>
              <w:rPr>
                <w:rFonts w:hint="eastAsia" w:ascii="仿宋_GB2312" w:hAnsi="宋体" w:eastAsia="仿宋_GB2312"/>
                <w:color w:val="000000"/>
                <w:sz w:val="24"/>
              </w:rPr>
              <w:t>由需方自愿提出会诊要求，医院与需方就有关邀请人员、医疗方案和费用等事项进行协商，然后由医院出面组织邀请院外专家（省外）来本院会诊。</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不高于15000元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53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T0030009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互联网医院图文咨询服务费（特需）</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患者可将检查报告等以图片的形式上传，并配以文字说明病情，由特需门诊坐诊医生在规定时间内利用休息时间为其提供咨询服务。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80元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51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T0030010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互联网医院图文咨询服务费（主任医师）</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患者可将检查报告等以图片的形式上传，并配以文字说明病情，由主任医师在规定时间内利用休息时间为其提供咨询服务。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40元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523"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T0030011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互联网医院图文咨询服务费（副主任医师）</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患者可将检查报告等以图片的形式上传，并配以文字说明病情，由副主任医师在规定时间内利用休息时间为其提供咨询服务。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30元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516"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T0030012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互联网医院图文咨询服务费（普通）</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患者可将检查报告等以图片的形式上传，并配以文字说明病情，由主治及以下职称医师在规定时间内利用休息时间为其提供咨询服务。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20元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p>
        </w:tc>
      </w:tr>
      <w:tr>
        <w:tblPrEx>
          <w:tblCellMar>
            <w:top w:w="0" w:type="dxa"/>
            <w:left w:w="108" w:type="dxa"/>
            <w:bottom w:w="0" w:type="dxa"/>
            <w:right w:w="108" w:type="dxa"/>
          </w:tblCellMar>
        </w:tblPrEx>
        <w:trPr>
          <w:trHeight w:val="1450"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T004008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人体成分测定（特需体检）</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通过电阻抗直接分析受试者的身体成分，全身及身体节段肌肉脂肪分析，提供营养、肥胖、身体均衡评估。</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次</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65元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特需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体检</w:t>
            </w:r>
          </w:p>
        </w:tc>
      </w:tr>
      <w:tr>
        <w:tblPrEx>
          <w:tblCellMar>
            <w:top w:w="0" w:type="dxa"/>
            <w:left w:w="108" w:type="dxa"/>
            <w:bottom w:w="0" w:type="dxa"/>
            <w:right w:w="108" w:type="dxa"/>
          </w:tblCellMar>
        </w:tblPrEx>
        <w:trPr>
          <w:trHeight w:val="180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T004009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个案全程标准化体重管理</w:t>
            </w:r>
          </w:p>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（特需体检套餐A）</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1.1次资深营养师提供1对1管理服务，主动提供日常指导，持续互动、提醒、追踪（不限于APP、电话、微信等），干预过渡方案制定，体重维持方案制定。</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2.1次专业慢病管理营养师1对1人体成分检测报告解析。</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3.全程健康宣教。</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4.1次线下复诊预约。</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5.全</w:t>
            </w:r>
            <w:r>
              <w:rPr>
                <w:rFonts w:hint="eastAsia" w:ascii="仿宋_GB2312" w:hAnsi="宋体" w:eastAsia="仿宋_GB2312" w:cs="宋体"/>
                <w:color w:val="000000"/>
                <w:spacing w:val="-8"/>
                <w:kern w:val="0"/>
                <w:sz w:val="24"/>
              </w:rPr>
              <w:t>程提供专属的管理工具体重管家APP，动态跟踪用户数据。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周期（28天）</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580元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特需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体检</w:t>
            </w:r>
          </w:p>
          <w:p>
            <w:pPr>
              <w:spacing w:line="2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套餐</w:t>
            </w:r>
          </w:p>
        </w:tc>
      </w:tr>
      <w:tr>
        <w:tblPrEx>
          <w:tblCellMar>
            <w:top w:w="0" w:type="dxa"/>
            <w:left w:w="108" w:type="dxa"/>
            <w:bottom w:w="0" w:type="dxa"/>
            <w:right w:w="108" w:type="dxa"/>
          </w:tblCellMar>
        </w:tblPrEx>
        <w:trPr>
          <w:trHeight w:val="1408"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default" w:ascii="仿宋_GB2312" w:hAnsi="宋体" w:eastAsia="仿宋_GB2312" w:cs="宋体"/>
                <w:color w:val="000000"/>
                <w:sz w:val="24"/>
                <w:lang w:val="en-US" w:eastAsia="zh-CN"/>
              </w:rPr>
            </w:pPr>
            <w:r>
              <w:rPr>
                <w:rFonts w:ascii="仿宋_GB2312" w:hAnsi="宋体" w:eastAsia="仿宋_GB2312" w:cs="宋体"/>
                <w:color w:val="000000"/>
                <w:sz w:val="24"/>
              </w:rPr>
              <w:t>T0040</w:t>
            </w:r>
            <w:r>
              <w:rPr>
                <w:rFonts w:hint="eastAsia" w:ascii="仿宋_GB2312" w:hAnsi="宋体" w:eastAsia="仿宋_GB2312" w:cs="宋体"/>
                <w:color w:val="000000"/>
                <w:sz w:val="24"/>
                <w:lang w:val="en-US" w:eastAsia="zh-CN"/>
              </w:rPr>
              <w:t>12</w:t>
            </w:r>
            <w:bookmarkStart w:id="1" w:name="_GoBack"/>
            <w:bookmarkEnd w:id="1"/>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个案全程精细化体重管理</w:t>
            </w:r>
          </w:p>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（特需体检套餐B）</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1.1次肥胖相关因素评估：生活方式评估、营养膳食评估、肥胖原因分析、干预障碍分析。</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2.2次资深营养师提供1对1管理服务，主动提供日常指导，持续互动、提醒、追踪（不限于APP、电话、微信等），干预过渡方案制定，体重维持方案制定。</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3.1次专业慢病管理营养师1对1人体成分检测报告解析。</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4.全程健康宣教。</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5.1次线下复诊预约。</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6.全程</w:t>
            </w:r>
            <w:r>
              <w:rPr>
                <w:rFonts w:hint="eastAsia" w:ascii="仿宋_GB2312" w:hAnsi="宋体" w:eastAsia="仿宋_GB2312" w:cs="宋体"/>
                <w:color w:val="000000"/>
                <w:spacing w:val="-8"/>
                <w:kern w:val="0"/>
                <w:sz w:val="24"/>
              </w:rPr>
              <w:t>提供专属的管理工具体重管家APP，动态跟踪用户数据。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周期（28天）</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sz w:val="24"/>
              </w:rPr>
              <w:t>1080元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特需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体检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套餐</w:t>
            </w:r>
          </w:p>
        </w:tc>
      </w:tr>
      <w:tr>
        <w:tblPrEx>
          <w:tblCellMar>
            <w:top w:w="0" w:type="dxa"/>
            <w:left w:w="108" w:type="dxa"/>
            <w:bottom w:w="0" w:type="dxa"/>
            <w:right w:w="108" w:type="dxa"/>
          </w:tblCellMar>
        </w:tblPrEx>
        <w:trPr>
          <w:trHeight w:val="180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T004010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个案全程强干预体重管理</w:t>
            </w:r>
          </w:p>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（特需体检套餐C）</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1.1次为用户建立个人建立健康档案并维护更新。</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2.1次肥胖相关因素评估：生活方式评估、营养膳食评估、肥胖原因分析、干预障碍分析。</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3.1次根据患者基本情况及肥胖分析，制定个性化干预执行方案。</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4.4次资深营养师提供1对1管理服务，主动提供日常指导，持续互动、提醒、追踪（不限于APP、电话、微信等），干预过渡方案制定，体重维持方案制定。</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5.1次专业慢病管理营养师1对1人体成分检测报告解析。</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6.全程健康宣教。</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7.1次结合患者的实际生活环境及评估结果给与合适的运动建议（握力测试、台阶测试）。</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8.1次线下复诊预约。</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9.全程提供专属的管理工具体重管家APP，动态跟踪用户数据。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周期（28天）</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r>
              <w:rPr>
                <w:rFonts w:hint="eastAsia" w:ascii="仿宋_GB2312" w:eastAsia="仿宋_GB2312"/>
                <w:sz w:val="24"/>
              </w:rPr>
              <w:t>1380元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特需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体检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套餐</w:t>
            </w:r>
          </w:p>
        </w:tc>
      </w:tr>
      <w:tr>
        <w:tblPrEx>
          <w:tblCellMar>
            <w:top w:w="0" w:type="dxa"/>
            <w:left w:w="108" w:type="dxa"/>
            <w:bottom w:w="0" w:type="dxa"/>
            <w:right w:w="108" w:type="dxa"/>
          </w:tblCellMar>
        </w:tblPrEx>
        <w:trPr>
          <w:trHeight w:val="1804" w:hRule="atLeas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60" w:lineRule="exac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ascii="仿宋_GB2312" w:hAnsi="宋体" w:eastAsia="仿宋_GB2312" w:cs="宋体"/>
                <w:color w:val="000000"/>
                <w:sz w:val="24"/>
              </w:rPr>
            </w:pPr>
            <w:r>
              <w:rPr>
                <w:rFonts w:ascii="仿宋_GB2312" w:hAnsi="宋体" w:eastAsia="仿宋_GB2312" w:cs="宋体"/>
                <w:color w:val="000000"/>
                <w:sz w:val="24"/>
              </w:rPr>
              <w:t>T004011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专病治疗性生活方式数字化干预体重管理</w:t>
            </w:r>
          </w:p>
          <w:p>
            <w:pPr>
              <w:widowControl/>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（特需体检套餐D）</w:t>
            </w:r>
          </w:p>
        </w:tc>
        <w:tc>
          <w:tcPr>
            <w:tcW w:w="31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1.1次为用户建立个人建立健康档案并维护更新。</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2.1次肥胖相关因素评估：生活方式评估、营养膳食评估、肥胖原因分析、干预障碍分析。</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3.1次根据患者基本情况及肥胖分析，制定个性化干预执行方案。</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4.全程资深营养师提供1对1管理服务，主动提供日常指导，持续互动、提醒、追踪（不限于APP、电话、微信等），干预过渡方案制定，体重维持方案制定。</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5.1次专业慢病管理营养师1对1人体成分检测报告解析。</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6.全程健康宣教。</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7.对患者全程提醒要求相关生化指标的收集和跟踪。</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8.2次结合患者的实际生活环境及评估结果给与合适的运动建议（握力测试、台阶测试）。</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9.1次线下复诊预约。</w:t>
            </w:r>
          </w:p>
          <w:p>
            <w:pPr>
              <w:widowControl/>
              <w:tabs>
                <w:tab w:val="left" w:pos="405"/>
              </w:tabs>
              <w:spacing w:line="260" w:lineRule="exact"/>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10.全程提供专属的管理工具体重管家APP，动态跟踪用户数据。</w:t>
            </w:r>
          </w:p>
          <w:p>
            <w:pPr>
              <w:widowControl/>
              <w:tabs>
                <w:tab w:val="left" w:pos="405"/>
              </w:tabs>
              <w:spacing w:line="260" w:lineRule="exact"/>
              <w:jc w:val="left"/>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11.1个wifi蓝牙双模式体脂秤。</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周期（28天）</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260" w:lineRule="exact"/>
              <w:jc w:val="center"/>
              <w:textAlignment w:val="center"/>
              <w:rPr>
                <w:rFonts w:hint="eastAsia" w:ascii="仿宋_GB2312" w:eastAsia="仿宋_GB2312"/>
                <w:sz w:val="24"/>
              </w:rPr>
            </w:pPr>
            <w:r>
              <w:rPr>
                <w:rFonts w:hint="eastAsia" w:ascii="仿宋_GB2312" w:eastAsia="仿宋_GB2312"/>
                <w:sz w:val="24"/>
              </w:rPr>
              <w:t>2980元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特需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体检</w:t>
            </w:r>
          </w:p>
          <w:p>
            <w:pPr>
              <w:spacing w:line="260" w:lineRule="exact"/>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套餐</w:t>
            </w:r>
          </w:p>
        </w:tc>
      </w:tr>
    </w:tbl>
    <w:p>
      <w:pPr>
        <w:snapToGrid w:val="0"/>
        <w:spacing w:line="360" w:lineRule="auto"/>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0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2025-08-26T02:32:25Z</dcterms:created>
  <dc:creator>Administrator</dc:creator>
  <cp:lastModifiedBy>Administrator</cp:lastModifiedBy>
  <dcterms:modified xsi:type="dcterms:W3CDTF">2025-08-26T02:32:52Z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