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jc w:val="lef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Hlk199512984"/>
      <w:r>
        <w:rPr>
          <w:rFonts w:hint="eastAsia" w:ascii="方正小标宋简体" w:eastAsia="方正小标宋简体"/>
          <w:b/>
          <w:bCs/>
          <w:sz w:val="44"/>
          <w:szCs w:val="44"/>
        </w:rPr>
        <w:t>温岭市第一人民医院新增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自主定价（特需）医疗服务项目汇总表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bookmarkEnd w:id="0"/>
    <w:tbl>
      <w:tblPr>
        <w:tblStyle w:val="4"/>
        <w:tblW w:w="9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285"/>
        <w:gridCol w:w="1343"/>
        <w:gridCol w:w="3162"/>
        <w:gridCol w:w="590"/>
        <w:gridCol w:w="851"/>
        <w:gridCol w:w="1042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项目服务内容（内涵）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除外内容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20"/>
              </w:tabs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计价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收费标准（元）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  <w:t>33CGBC8000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免疫球蛋白游离轻链测定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指对Kappa型和Lambda型的测定。样本类型：血液/尿液。样本采集、签收、处理，定标和质控，检测样本，审核结果，录入实验室信息系统或人工登记，发送报告；按规定处理废弃物；接受临床相关咨询。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2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2025-09-17T08:23:13Z</dcterms:created>
  <dc:creator>Administrator</dc:creator>
  <cp:lastModifiedBy>Administrator</cp:lastModifiedBy>
  <dcterms:modified xsi:type="dcterms:W3CDTF">2025-09-17T08:26:52Z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